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cs="方正小标宋简体"/>
          <w:sz w:val="36"/>
          <w:szCs w:val="40"/>
        </w:rPr>
      </w:pPr>
      <w:r>
        <w:rPr>
          <w:rFonts w:hint="eastAsia" w:ascii="黑体" w:hAnsi="黑体" w:eastAsia="黑体" w:cs="方正小标宋简体"/>
          <w:sz w:val="36"/>
          <w:szCs w:val="40"/>
        </w:rPr>
        <w:t>江西省电子信息技师学院2022年公开招聘</w:t>
      </w:r>
    </w:p>
    <w:p>
      <w:pPr>
        <w:spacing w:line="560" w:lineRule="exact"/>
        <w:jc w:val="center"/>
        <w:rPr>
          <w:rFonts w:ascii="黑体" w:hAnsi="黑体" w:eastAsia="黑体" w:cs="方正小标宋简体"/>
          <w:sz w:val="36"/>
          <w:szCs w:val="40"/>
        </w:rPr>
      </w:pPr>
      <w:r>
        <w:rPr>
          <w:rFonts w:hint="eastAsia" w:ascii="黑体" w:hAnsi="黑体" w:eastAsia="黑体" w:cs="方正小标宋简体"/>
          <w:sz w:val="36"/>
          <w:szCs w:val="40"/>
        </w:rPr>
        <w:t>高层次人才现场资格审查工作疫情防控公告</w:t>
      </w:r>
    </w:p>
    <w:p>
      <w:pPr>
        <w:widowControl/>
        <w:adjustRightInd w:val="0"/>
        <w:snapToGrid w:val="0"/>
        <w:spacing w:line="560" w:lineRule="exact"/>
        <w:ind w:firstLine="640" w:firstLineChars="200"/>
        <w:rPr>
          <w:rFonts w:ascii="仿宋" w:hAnsi="仿宋" w:eastAsia="仿宋" w:cs="仿宋"/>
          <w:color w:val="000000"/>
          <w:kern w:val="0"/>
          <w:sz w:val="32"/>
          <w:szCs w:val="32"/>
        </w:rPr>
      </w:pPr>
    </w:p>
    <w:p>
      <w:pPr>
        <w:spacing w:line="56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   </w:t>
      </w:r>
      <w:r>
        <w:rPr>
          <w:rFonts w:ascii="仿宋" w:hAnsi="仿宋" w:eastAsia="仿宋" w:cs="仿宋"/>
          <w:color w:val="000000"/>
          <w:kern w:val="0"/>
          <w:sz w:val="32"/>
          <w:szCs w:val="32"/>
        </w:rPr>
        <w:t>当前</w:t>
      </w:r>
      <w:r>
        <w:rPr>
          <w:rFonts w:hint="eastAsia" w:ascii="仿宋" w:hAnsi="仿宋" w:eastAsia="仿宋" w:cs="仿宋"/>
          <w:color w:val="000000"/>
          <w:kern w:val="0"/>
          <w:sz w:val="32"/>
          <w:szCs w:val="32"/>
        </w:rPr>
        <w:t>国内、省内</w:t>
      </w:r>
      <w:r>
        <w:rPr>
          <w:rFonts w:ascii="仿宋" w:hAnsi="仿宋" w:eastAsia="仿宋" w:cs="仿宋"/>
          <w:color w:val="000000"/>
          <w:kern w:val="0"/>
          <w:sz w:val="32"/>
          <w:szCs w:val="32"/>
        </w:rPr>
        <w:t>疫情防控形势严峻复杂</w:t>
      </w:r>
      <w:r>
        <w:rPr>
          <w:rFonts w:hint="eastAsia" w:ascii="仿宋" w:hAnsi="仿宋" w:eastAsia="仿宋" w:cs="仿宋"/>
          <w:color w:val="000000"/>
          <w:kern w:val="0"/>
          <w:sz w:val="32"/>
          <w:szCs w:val="32"/>
        </w:rPr>
        <w:t>，按照《新型冠状病毒肺炎防控方案（第九版）》</w:t>
      </w:r>
      <w:r>
        <w:rPr>
          <w:rFonts w:ascii="仿宋" w:hAnsi="仿宋" w:eastAsia="仿宋" w:cs="仿宋"/>
          <w:color w:val="000000"/>
          <w:kern w:val="0"/>
          <w:sz w:val="32"/>
          <w:szCs w:val="32"/>
        </w:rPr>
        <w:t>有关要求</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为严格落实“外防输入”防控措施，</w:t>
      </w:r>
      <w:r>
        <w:rPr>
          <w:rFonts w:hint="eastAsia" w:ascii="仿宋" w:hAnsi="仿宋" w:eastAsia="仿宋" w:cs="仿宋"/>
          <w:color w:val="000000"/>
          <w:kern w:val="0"/>
          <w:sz w:val="32"/>
          <w:szCs w:val="32"/>
        </w:rPr>
        <w:t>避免疫情传播风险，确保我院2022年公开招聘高层次人才现场资格审查相关工作正常、安全、有</w:t>
      </w:r>
    </w:p>
    <w:p>
      <w:pPr>
        <w:spacing w:line="560" w:lineRule="exact"/>
        <w:rPr>
          <w:rFonts w:ascii="仿宋" w:hAnsi="仿宋" w:eastAsia="仿宋" w:cs="仿宋"/>
          <w:color w:val="000000"/>
          <w:kern w:val="0"/>
          <w:sz w:val="32"/>
          <w:szCs w:val="32"/>
        </w:rPr>
      </w:pPr>
      <w:r>
        <w:rPr>
          <w:rFonts w:hint="eastAsia" w:ascii="仿宋" w:hAnsi="仿宋" w:eastAsia="仿宋" w:cs="仿宋"/>
          <w:color w:val="000000"/>
          <w:kern w:val="0"/>
          <w:sz w:val="32"/>
          <w:szCs w:val="32"/>
        </w:rPr>
        <w:t>序进行，结合现行的疫情防控政策，现将</w:t>
      </w:r>
      <w:r>
        <w:rPr>
          <w:rFonts w:hint="eastAsia" w:ascii="仿宋" w:hAnsi="仿宋" w:eastAsia="仿宋" w:cs="仿宋"/>
          <w:sz w:val="32"/>
          <w:szCs w:val="32"/>
        </w:rPr>
        <w:t>江西省电子信息技师学院2022年公开招聘高层次人才现场资格审查及新冠肺炎疫情防控相关要求</w:t>
      </w:r>
      <w:r>
        <w:rPr>
          <w:rFonts w:hint="eastAsia" w:ascii="仿宋" w:hAnsi="仿宋" w:eastAsia="仿宋" w:cs="仿宋"/>
          <w:color w:val="000000"/>
          <w:kern w:val="0"/>
          <w:sz w:val="32"/>
          <w:szCs w:val="32"/>
        </w:rPr>
        <w:t>公告如下：</w:t>
      </w:r>
    </w:p>
    <w:p>
      <w:pPr>
        <w:widowControl/>
        <w:adjustRightInd w:val="0"/>
        <w:snapToGrid w:val="0"/>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一、考生应随时关注“江西卫生健康”“江西疾控”“健康南昌”“南昌疾控”“南昌高新区”等微信公众号及国务院客户端等渠道,了解我省、南昌市和属地高新区疫情防控指挥部疫情防控相关规定,严格遵守疫情防控规定。</w:t>
      </w:r>
    </w:p>
    <w:p>
      <w:pPr>
        <w:widowControl/>
        <w:adjustRightInd w:val="0"/>
        <w:snapToGrid w:val="0"/>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二、考生现场资格审查前和审查期间,要主动减少外出和不必要的聚集,避免跨区域流动、前往人员密集场所，非必要不离昌、不前往风险区域。合理安排出行,乘坐公共交通工具时严格做好个人防护。从事高风险岗位工作的考生,至少应于现场资格审查前3天调岗,并在之后完成3次核酸检测,即3天3检。</w:t>
      </w:r>
    </w:p>
    <w:p>
      <w:pPr>
        <w:widowControl/>
        <w:adjustRightInd w:val="0"/>
        <w:snapToGrid w:val="0"/>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三、考生应于本公告发布之日起开始自我健康监测,落实核酸检测、疫苗接种等南昌市疫情防控管理要求。认真阅知、如实填写、郑重签署《新冠肺炎疫情防控告知暨健康承诺书》（以下简称《承诺书》,详见附件）,于现场资格审查当天带到现场,将填写完整的《承诺书》交予资格审查工作人员,并对《承诺书》真实性负责。</w:t>
      </w:r>
    </w:p>
    <w:p>
      <w:pPr>
        <w:widowControl/>
        <w:adjustRightInd w:val="0"/>
        <w:snapToGrid w:val="0"/>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四、境外、省外来（返）昌考生应合理安排行程，务必于来昌前通过微信申领“昌通码”或“赣通码”,并提前通过“昌通码”或“赣通码”填报入昌（返乡）登记信息。境外考生应至少提前10天抵达境内，倡导省外考生提前7天返赣（昌），南昌市外考生须合理安排行程，建议提前来（返）昌，并按照疫情防控有关规定,接受相应隔离观察、健康管理和核酸检测等疫情防控措施。</w:t>
      </w:r>
    </w:p>
    <w:p>
      <w:pPr>
        <w:widowControl/>
        <w:adjustRightInd w:val="0"/>
        <w:snapToGrid w:val="0"/>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五、考生务必从现场资格审查前7天起持续关注“昌通码”或“赣通码”状态并保持绿码。非绿码人员需通过核酸检测、个人申诉等方式尽快转为绿码。</w:t>
      </w:r>
    </w:p>
    <w:p>
      <w:pPr>
        <w:widowControl/>
        <w:adjustRightInd w:val="0"/>
        <w:snapToGrid w:val="0"/>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六、考生应按要求在规定时间内到达资格审查现场,期间全程佩戴口罩（接受身份识别验证等特殊情况除外）。口罩、消毒纸巾等防护用品自备。</w:t>
      </w:r>
    </w:p>
    <w:p>
      <w:pPr>
        <w:widowControl/>
        <w:adjustRightInd w:val="0"/>
        <w:snapToGrid w:val="0"/>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七、所有参加现场资格审查人员进入校园时必须配合校门口工作人员进行“一测一扫三查验”,即测量体温、扫“场所码”、查验健康码、行程卡、48小时内核酸检测阴性证明（纸质版或电子版）,保持1米线以上安全社交距离。</w:t>
      </w:r>
    </w:p>
    <w:p>
      <w:pPr>
        <w:widowControl/>
        <w:adjustRightInd w:val="0"/>
        <w:snapToGrid w:val="0"/>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八、现场资格审查期间,考生车辆及其他无关人员一律不得进入校园内。</w:t>
      </w:r>
    </w:p>
    <w:p>
      <w:pPr>
        <w:widowControl/>
        <w:adjustRightInd w:val="0"/>
        <w:snapToGrid w:val="0"/>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九、现场资格审查前7天内有南昌市外低风险区旅居史的考生,抵昌后完成“落地检”，3天内完成2次核酸检测（2次采样至少间隔24小时）；现场资格审查前7天内有南昌市内低风险区旅居史的考生, 现场资格审查前完成3天3检（每次采样至少间隔24小时）；且均须考前持48小时核酸检测阴性证明进入考点。</w:t>
      </w:r>
    </w:p>
    <w:p>
      <w:pPr>
        <w:widowControl/>
        <w:adjustRightInd w:val="0"/>
        <w:snapToGrid w:val="0"/>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十、有以下情形的人员,不得参加现场资格审查:</w:t>
      </w:r>
    </w:p>
    <w:p>
      <w:pPr>
        <w:widowControl/>
        <w:adjustRightInd w:val="0"/>
        <w:snapToGrid w:val="0"/>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1.不能提供健康码、行程卡，未按要求提供核酸检测阴性报告的；</w:t>
      </w:r>
    </w:p>
    <w:p>
      <w:pPr>
        <w:widowControl/>
        <w:adjustRightInd w:val="0"/>
        <w:snapToGrid w:val="0"/>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2.健康码为红码或黄码的；</w:t>
      </w:r>
    </w:p>
    <w:p>
      <w:pPr>
        <w:widowControl/>
        <w:adjustRightInd w:val="0"/>
        <w:snapToGrid w:val="0"/>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3.无现场资格审查前48小时内核酸检测阴性证明的人员的;</w:t>
      </w:r>
    </w:p>
    <w:p>
      <w:pPr>
        <w:widowControl/>
        <w:adjustRightInd w:val="0"/>
        <w:snapToGrid w:val="0"/>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4.现场资格审查前10天内有境外(含港澳台)旅居史,7天内有国内中、高风险区旅居史的人员的;</w:t>
      </w:r>
    </w:p>
    <w:p>
      <w:pPr>
        <w:widowControl/>
        <w:adjustRightInd w:val="0"/>
        <w:snapToGrid w:val="0"/>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5.现场资格审查前7天内有南昌市外低风险区旅居史，在昌未完成“3天2检（2次采样至少间隔24小时）”的；</w:t>
      </w:r>
    </w:p>
    <w:p>
      <w:pPr>
        <w:widowControl/>
        <w:adjustRightInd w:val="0"/>
        <w:snapToGrid w:val="0"/>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6.现场资格审查前7天内有南昌市内低风险区旅居史，在昌未完成“3天3检”（每次采样至少间隔24小时）的；</w:t>
      </w:r>
    </w:p>
    <w:p>
      <w:pPr>
        <w:widowControl/>
        <w:adjustRightInd w:val="0"/>
        <w:snapToGrid w:val="0"/>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7.被判定为新冠相关病例(确诊、疑似、无症状)、密切接触者、密接的密接等人员,正在进行隔离救治、集中或居家隔离医学观察、居家健康监测等管控措施的;</w:t>
      </w:r>
    </w:p>
    <w:p>
      <w:pPr>
        <w:widowControl/>
        <w:adjustRightInd w:val="0"/>
        <w:snapToGrid w:val="0"/>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8.已治愈出院的确诊病例和已解除集中隔离医学观察的无症状感染者,尚在居家健康监测期的人员的;</w:t>
      </w:r>
    </w:p>
    <w:p>
      <w:pPr>
        <w:widowControl/>
        <w:adjustRightInd w:val="0"/>
        <w:snapToGrid w:val="0"/>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9.出现发热、乏力、咳嗽、咳痰、咽痛、呕吐、嗅觉或味觉减退等症状或以上症状消失未满48小时，腹泻症状消失未满72小时的；</w:t>
      </w:r>
    </w:p>
    <w:p>
      <w:pPr>
        <w:pStyle w:val="2"/>
        <w:ind w:firstLine="640" w:firstLineChars="200"/>
        <w:rPr>
          <w:rFonts w:eastAsia="仿宋"/>
        </w:rPr>
      </w:pPr>
      <w:r>
        <w:rPr>
          <w:rFonts w:hint="eastAsia" w:ascii="仿宋" w:hAnsi="仿宋" w:eastAsia="仿宋" w:cs="仿宋"/>
          <w:color w:val="000000"/>
          <w:kern w:val="0"/>
          <w:sz w:val="32"/>
          <w:szCs w:val="32"/>
        </w:rPr>
        <w:t>10.其他经认定评估后不适合参与现场资格审查的。</w:t>
      </w:r>
    </w:p>
    <w:p>
      <w:pPr>
        <w:widowControl/>
        <w:adjustRightInd w:val="0"/>
        <w:snapToGrid w:val="0"/>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存在不得参加现场资格审查情形的人员,请按疫情防控要求,落实集中隔离、健康监测等措施,同时应主动提前向我院组织人事处报备（电话：0791-88167932，88162079）。</w:t>
      </w:r>
    </w:p>
    <w:p>
      <w:pPr>
        <w:widowControl/>
        <w:adjustRightInd w:val="0"/>
        <w:snapToGrid w:val="0"/>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十一、现场资格审查期间,考生必须做好个人防护,全程规范佩戴口罩。用过的口罩需集中弃置到指定的垃圾桶统一处理,不可随意丢弃。做好个人卫生,咳嗽、吐痰或者打喷嚏时用纸巾遮掩口鼻或用肘护。</w:t>
      </w:r>
    </w:p>
    <w:p>
      <w:pPr>
        <w:widowControl/>
        <w:adjustRightInd w:val="0"/>
        <w:snapToGrid w:val="0"/>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十二、凡有虚假或不实承诺、隐瞒病史、隐瞒旅居史和接触史、自行服药隐瞒症状、瞒报漏报健康情况、逃避防疫措施的,一经发现,一律不得参加考试;造成不良影响和后果的,将依法依规追究相关责任。</w:t>
      </w:r>
    </w:p>
    <w:p>
      <w:pPr>
        <w:widowControl/>
        <w:adjustRightInd w:val="0"/>
        <w:snapToGrid w:val="0"/>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十三、在现场资格审查组织实施过程中,必要时将按照新冠疫情防控动态调整属地最新要求,对现场资格审查时间及相关事项进行适当调整,请考生密切关注相关通知通告。考生如隐瞒接触史、旅居史、故意谎报病情或拒不执行疫情防控措施的，将取消考生报考资格，造成严重后果的，将严肃追究其法律责任。</w:t>
      </w:r>
    </w:p>
    <w:p>
      <w:pPr>
        <w:widowControl/>
        <w:adjustRightInd w:val="0"/>
        <w:snapToGrid w:val="0"/>
        <w:spacing w:line="560" w:lineRule="exact"/>
        <w:ind w:firstLine="640" w:firstLineChars="200"/>
        <w:rPr>
          <w:rFonts w:ascii="仿宋" w:hAnsi="仿宋" w:eastAsia="仿宋" w:cs="仿宋"/>
          <w:color w:val="000000"/>
          <w:kern w:val="0"/>
          <w:sz w:val="32"/>
          <w:szCs w:val="32"/>
        </w:rPr>
      </w:pPr>
    </w:p>
    <w:p>
      <w:pPr>
        <w:widowControl/>
        <w:adjustRightInd w:val="0"/>
        <w:snapToGrid w:val="0"/>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附件：新冠肺炎疫情防控告知暨健康承诺书</w:t>
      </w:r>
    </w:p>
    <w:p>
      <w:pPr>
        <w:adjustRightInd w:val="0"/>
        <w:snapToGrid w:val="0"/>
        <w:spacing w:line="560" w:lineRule="exact"/>
        <w:jc w:val="right"/>
        <w:rPr>
          <w:rFonts w:ascii="仿宋" w:hAnsi="仿宋" w:eastAsia="仿宋" w:cs="仿宋"/>
          <w:sz w:val="32"/>
          <w:szCs w:val="32"/>
        </w:rPr>
      </w:pPr>
    </w:p>
    <w:p>
      <w:pPr>
        <w:adjustRightInd w:val="0"/>
        <w:snapToGrid w:val="0"/>
        <w:spacing w:line="560" w:lineRule="exact"/>
        <w:jc w:val="right"/>
        <w:rPr>
          <w:rFonts w:ascii="仿宋" w:hAnsi="仿宋" w:eastAsia="仿宋" w:cs="仿宋"/>
          <w:sz w:val="32"/>
          <w:szCs w:val="32"/>
        </w:rPr>
      </w:pPr>
    </w:p>
    <w:p>
      <w:pPr>
        <w:adjustRightInd w:val="0"/>
        <w:snapToGrid w:val="0"/>
        <w:spacing w:line="560" w:lineRule="exact"/>
        <w:jc w:val="right"/>
        <w:rPr>
          <w:rFonts w:ascii="仿宋" w:hAnsi="仿宋" w:eastAsia="仿宋" w:cs="仿宋"/>
          <w:sz w:val="32"/>
          <w:szCs w:val="32"/>
        </w:rPr>
      </w:pPr>
      <w:r>
        <w:rPr>
          <w:rFonts w:hint="eastAsia" w:ascii="仿宋" w:hAnsi="仿宋" w:eastAsia="仿宋" w:cs="仿宋"/>
          <w:sz w:val="32"/>
          <w:szCs w:val="32"/>
        </w:rPr>
        <w:t>江西省电子信息技师学院</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2022年9月9日</w:t>
      </w:r>
    </w:p>
    <w:p>
      <w:pPr>
        <w:rPr>
          <w:rFonts w:ascii="仿宋" w:hAnsi="仿宋" w:eastAsia="仿宋" w:cs="仿宋"/>
        </w:rPr>
      </w:pPr>
    </w:p>
    <w:p>
      <w:pPr>
        <w:pStyle w:val="2"/>
        <w:rPr>
          <w:rFonts w:ascii="仿宋" w:hAnsi="仿宋" w:eastAsia="仿宋" w:cs="仿宋"/>
          <w:sz w:val="44"/>
          <w:szCs w:val="44"/>
        </w:rPr>
      </w:pPr>
    </w:p>
    <w:p>
      <w:pPr>
        <w:spacing w:line="520" w:lineRule="exact"/>
        <w:jc w:val="center"/>
        <w:rPr>
          <w:rFonts w:ascii="仿宋" w:hAnsi="仿宋" w:eastAsia="仿宋" w:cs="仿宋"/>
          <w:sz w:val="44"/>
          <w:szCs w:val="44"/>
        </w:rPr>
      </w:pPr>
      <w:r>
        <w:rPr>
          <w:rFonts w:hint="eastAsia" w:ascii="仿宋" w:hAnsi="仿宋" w:eastAsia="仿宋" w:cs="仿宋"/>
          <w:sz w:val="44"/>
          <w:szCs w:val="44"/>
        </w:rPr>
        <w:t>新冠肺炎疫情防控告知暨健康承诺书</w:t>
      </w:r>
    </w:p>
    <w:p>
      <w:pPr>
        <w:widowControl/>
        <w:adjustRightInd w:val="0"/>
        <w:snapToGrid w:val="0"/>
        <w:spacing w:line="400" w:lineRule="exact"/>
        <w:ind w:firstLine="480" w:firstLineChars="200"/>
        <w:jc w:val="left"/>
        <w:rPr>
          <w:rFonts w:ascii="仿宋" w:hAnsi="仿宋" w:eastAsia="仿宋" w:cs="仿宋"/>
          <w:bCs/>
          <w:kern w:val="0"/>
          <w:sz w:val="24"/>
        </w:rPr>
      </w:pPr>
    </w:p>
    <w:p>
      <w:pPr>
        <w:widowControl/>
        <w:adjustRightInd w:val="0"/>
        <w:snapToGrid w:val="0"/>
        <w:spacing w:line="400" w:lineRule="exact"/>
        <w:ind w:firstLine="480" w:firstLineChars="200"/>
        <w:jc w:val="left"/>
        <w:rPr>
          <w:rFonts w:ascii="仿宋" w:hAnsi="仿宋" w:eastAsia="仿宋" w:cs="仿宋"/>
          <w:bCs/>
          <w:kern w:val="0"/>
          <w:sz w:val="24"/>
        </w:rPr>
      </w:pPr>
      <w:r>
        <w:rPr>
          <w:rFonts w:hint="eastAsia" w:ascii="仿宋" w:hAnsi="仿宋" w:eastAsia="仿宋" w:cs="仿宋"/>
          <w:bCs/>
          <w:kern w:val="0"/>
          <w:sz w:val="24"/>
        </w:rPr>
        <w:t>本人确认以下问题：</w:t>
      </w:r>
    </w:p>
    <w:tbl>
      <w:tblPr>
        <w:tblStyle w:val="6"/>
        <w:tblW w:w="8572" w:type="dxa"/>
        <w:tblInd w:w="91" w:type="dxa"/>
        <w:tblLayout w:type="fixed"/>
        <w:tblCellMar>
          <w:top w:w="0" w:type="dxa"/>
          <w:left w:w="108" w:type="dxa"/>
          <w:bottom w:w="0" w:type="dxa"/>
          <w:right w:w="108" w:type="dxa"/>
        </w:tblCellMar>
      </w:tblPr>
      <w:tblGrid>
        <w:gridCol w:w="6847"/>
        <w:gridCol w:w="820"/>
        <w:gridCol w:w="905"/>
      </w:tblGrid>
      <w:tr>
        <w:tblPrEx>
          <w:tblCellMar>
            <w:top w:w="0" w:type="dxa"/>
            <w:left w:w="108" w:type="dxa"/>
            <w:bottom w:w="0" w:type="dxa"/>
            <w:right w:w="108" w:type="dxa"/>
          </w:tblCellMar>
        </w:tblPrEx>
        <w:trPr>
          <w:trHeight w:val="425" w:hRule="atLeast"/>
        </w:trPr>
        <w:tc>
          <w:tcPr>
            <w:tcW w:w="68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bCs/>
                <w:kern w:val="0"/>
                <w:sz w:val="24"/>
              </w:rPr>
            </w:pPr>
            <w:r>
              <w:rPr>
                <w:rFonts w:hint="eastAsia" w:ascii="仿宋" w:hAnsi="仿宋" w:eastAsia="仿宋" w:cs="仿宋"/>
                <w:bCs/>
                <w:kern w:val="0"/>
                <w:sz w:val="24"/>
              </w:rPr>
              <w:t>主要内容</w:t>
            </w:r>
          </w:p>
        </w:tc>
        <w:tc>
          <w:tcPr>
            <w:tcW w:w="82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 w:hAnsi="仿宋" w:eastAsia="仿宋" w:cs="仿宋"/>
                <w:bCs/>
                <w:kern w:val="0"/>
                <w:sz w:val="24"/>
              </w:rPr>
            </w:pPr>
            <w:r>
              <w:rPr>
                <w:rFonts w:hint="eastAsia" w:ascii="仿宋" w:hAnsi="仿宋" w:eastAsia="仿宋" w:cs="仿宋"/>
                <w:bCs/>
                <w:kern w:val="0"/>
                <w:sz w:val="24"/>
              </w:rPr>
              <w:t>是</w:t>
            </w:r>
          </w:p>
        </w:tc>
        <w:tc>
          <w:tcPr>
            <w:tcW w:w="90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 w:hAnsi="仿宋" w:eastAsia="仿宋" w:cs="仿宋"/>
                <w:bCs/>
                <w:kern w:val="0"/>
                <w:sz w:val="24"/>
              </w:rPr>
            </w:pPr>
            <w:r>
              <w:rPr>
                <w:rFonts w:hint="eastAsia" w:ascii="仿宋" w:hAnsi="仿宋" w:eastAsia="仿宋" w:cs="仿宋"/>
                <w:bCs/>
                <w:kern w:val="0"/>
                <w:sz w:val="24"/>
              </w:rPr>
              <w:t>否</w:t>
            </w:r>
          </w:p>
        </w:tc>
      </w:tr>
      <w:tr>
        <w:tblPrEx>
          <w:tblCellMar>
            <w:top w:w="0" w:type="dxa"/>
            <w:left w:w="108" w:type="dxa"/>
            <w:bottom w:w="0" w:type="dxa"/>
            <w:right w:w="108" w:type="dxa"/>
          </w:tblCellMar>
        </w:tblPrEx>
        <w:trPr>
          <w:trHeight w:val="510" w:hRule="atLeast"/>
        </w:trPr>
        <w:tc>
          <w:tcPr>
            <w:tcW w:w="68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仿宋"/>
                <w:bCs/>
                <w:kern w:val="0"/>
                <w:sz w:val="24"/>
              </w:rPr>
            </w:pPr>
            <w:r>
              <w:rPr>
                <w:rFonts w:hint="eastAsia" w:ascii="仿宋" w:hAnsi="仿宋" w:eastAsia="仿宋" w:cs="仿宋"/>
                <w:bCs/>
                <w:kern w:val="0"/>
                <w:sz w:val="24"/>
              </w:rPr>
              <w:t>1.新冠肺炎确诊病例、疑似病例、无症状感染者。</w:t>
            </w:r>
          </w:p>
        </w:tc>
        <w:tc>
          <w:tcPr>
            <w:tcW w:w="820" w:type="dxa"/>
            <w:tcBorders>
              <w:top w:val="single" w:color="auto" w:sz="4" w:space="0"/>
              <w:left w:val="nil"/>
              <w:bottom w:val="single" w:color="auto" w:sz="4" w:space="0"/>
              <w:right w:val="single" w:color="auto" w:sz="4" w:space="0"/>
            </w:tcBorders>
            <w:vAlign w:val="center"/>
          </w:tcPr>
          <w:p>
            <w:pPr>
              <w:widowControl/>
              <w:adjustRightInd w:val="0"/>
              <w:snapToGrid w:val="0"/>
              <w:ind w:firstLine="480" w:firstLineChars="200"/>
              <w:jc w:val="left"/>
              <w:rPr>
                <w:rFonts w:ascii="仿宋" w:hAnsi="仿宋" w:eastAsia="仿宋" w:cs="仿宋"/>
                <w:bCs/>
                <w:kern w:val="0"/>
                <w:sz w:val="24"/>
              </w:rPr>
            </w:pPr>
          </w:p>
        </w:tc>
        <w:tc>
          <w:tcPr>
            <w:tcW w:w="905" w:type="dxa"/>
            <w:tcBorders>
              <w:top w:val="single" w:color="auto" w:sz="4" w:space="0"/>
              <w:left w:val="nil"/>
              <w:bottom w:val="single" w:color="auto" w:sz="4" w:space="0"/>
              <w:right w:val="single" w:color="auto" w:sz="4" w:space="0"/>
            </w:tcBorders>
            <w:vAlign w:val="center"/>
          </w:tcPr>
          <w:p>
            <w:pPr>
              <w:widowControl/>
              <w:adjustRightInd w:val="0"/>
              <w:snapToGrid w:val="0"/>
              <w:ind w:firstLine="480" w:firstLineChars="200"/>
              <w:jc w:val="left"/>
              <w:rPr>
                <w:rFonts w:ascii="仿宋" w:hAnsi="仿宋" w:eastAsia="仿宋" w:cs="仿宋"/>
                <w:bCs/>
                <w:kern w:val="0"/>
                <w:sz w:val="24"/>
              </w:rPr>
            </w:pPr>
          </w:p>
        </w:tc>
      </w:tr>
      <w:tr>
        <w:tblPrEx>
          <w:tblCellMar>
            <w:top w:w="0" w:type="dxa"/>
            <w:left w:w="108" w:type="dxa"/>
            <w:bottom w:w="0" w:type="dxa"/>
            <w:right w:w="108" w:type="dxa"/>
          </w:tblCellMar>
        </w:tblPrEx>
        <w:trPr>
          <w:trHeight w:val="510" w:hRule="atLeast"/>
        </w:trPr>
        <w:tc>
          <w:tcPr>
            <w:tcW w:w="68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仿宋"/>
                <w:bCs/>
                <w:kern w:val="0"/>
                <w:sz w:val="24"/>
              </w:rPr>
            </w:pPr>
            <w:r>
              <w:rPr>
                <w:rFonts w:hint="eastAsia" w:ascii="仿宋" w:hAnsi="仿宋" w:eastAsia="仿宋" w:cs="仿宋"/>
                <w:bCs/>
                <w:kern w:val="0"/>
                <w:sz w:val="24"/>
              </w:rPr>
              <w:t>2.处于隔离或居家健康监测期的入境人员、密接、密接的密接、</w:t>
            </w:r>
            <w:r>
              <w:rPr>
                <w:rFonts w:hint="eastAsia" w:ascii="仿宋" w:hAnsi="仿宋" w:eastAsia="仿宋" w:cs="仿宋"/>
                <w:bCs/>
                <w:kern w:val="0"/>
                <w:sz w:val="24"/>
                <w:szCs w:val="21"/>
              </w:rPr>
              <w:t>已治愈出院的确诊病例、已解除集中隔离的无症状感染者</w:t>
            </w:r>
            <w:r>
              <w:rPr>
                <w:rFonts w:hint="eastAsia" w:ascii="仿宋" w:hAnsi="仿宋" w:eastAsia="仿宋" w:cs="仿宋"/>
                <w:bCs/>
                <w:kern w:val="0"/>
                <w:sz w:val="24"/>
              </w:rPr>
              <w:t>及其他重点人员。</w:t>
            </w:r>
          </w:p>
        </w:tc>
        <w:tc>
          <w:tcPr>
            <w:tcW w:w="820" w:type="dxa"/>
            <w:tcBorders>
              <w:top w:val="single" w:color="auto" w:sz="4" w:space="0"/>
              <w:left w:val="nil"/>
              <w:bottom w:val="single" w:color="auto" w:sz="4" w:space="0"/>
              <w:right w:val="single" w:color="auto" w:sz="4" w:space="0"/>
            </w:tcBorders>
            <w:vAlign w:val="center"/>
          </w:tcPr>
          <w:p>
            <w:pPr>
              <w:widowControl/>
              <w:adjustRightInd w:val="0"/>
              <w:snapToGrid w:val="0"/>
              <w:ind w:firstLine="480" w:firstLineChars="200"/>
              <w:jc w:val="left"/>
              <w:rPr>
                <w:rFonts w:ascii="仿宋" w:hAnsi="仿宋" w:eastAsia="仿宋" w:cs="仿宋"/>
                <w:bCs/>
                <w:kern w:val="0"/>
                <w:sz w:val="24"/>
              </w:rPr>
            </w:pPr>
          </w:p>
        </w:tc>
        <w:tc>
          <w:tcPr>
            <w:tcW w:w="905" w:type="dxa"/>
            <w:tcBorders>
              <w:top w:val="single" w:color="auto" w:sz="4" w:space="0"/>
              <w:left w:val="nil"/>
              <w:bottom w:val="single" w:color="auto" w:sz="4" w:space="0"/>
              <w:right w:val="single" w:color="auto" w:sz="4" w:space="0"/>
            </w:tcBorders>
            <w:vAlign w:val="center"/>
          </w:tcPr>
          <w:p>
            <w:pPr>
              <w:widowControl/>
              <w:adjustRightInd w:val="0"/>
              <w:snapToGrid w:val="0"/>
              <w:ind w:firstLine="480" w:firstLineChars="200"/>
              <w:jc w:val="left"/>
              <w:rPr>
                <w:rFonts w:ascii="仿宋" w:hAnsi="仿宋" w:eastAsia="仿宋" w:cs="仿宋"/>
                <w:bCs/>
                <w:kern w:val="0"/>
                <w:sz w:val="24"/>
              </w:rPr>
            </w:pPr>
          </w:p>
        </w:tc>
      </w:tr>
      <w:tr>
        <w:tblPrEx>
          <w:tblCellMar>
            <w:top w:w="0" w:type="dxa"/>
            <w:left w:w="108" w:type="dxa"/>
            <w:bottom w:w="0" w:type="dxa"/>
            <w:right w:w="108" w:type="dxa"/>
          </w:tblCellMar>
        </w:tblPrEx>
        <w:trPr>
          <w:trHeight w:val="510" w:hRule="atLeast"/>
        </w:trPr>
        <w:tc>
          <w:tcPr>
            <w:tcW w:w="68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仿宋"/>
                <w:bCs/>
                <w:kern w:val="0"/>
                <w:sz w:val="24"/>
              </w:rPr>
            </w:pPr>
            <w:r>
              <w:rPr>
                <w:rFonts w:hint="eastAsia" w:ascii="仿宋" w:hAnsi="仿宋" w:eastAsia="仿宋" w:cs="仿宋"/>
                <w:bCs/>
                <w:kern w:val="0"/>
                <w:sz w:val="24"/>
              </w:rPr>
              <w:t>3.现场资格审查前10天内有境外旅居史未完成隔离、居家健康监测期的人员。</w:t>
            </w:r>
          </w:p>
        </w:tc>
        <w:tc>
          <w:tcPr>
            <w:tcW w:w="820" w:type="dxa"/>
            <w:tcBorders>
              <w:top w:val="single" w:color="auto" w:sz="4" w:space="0"/>
              <w:left w:val="nil"/>
              <w:bottom w:val="single" w:color="auto" w:sz="4" w:space="0"/>
              <w:right w:val="single" w:color="auto" w:sz="4" w:space="0"/>
            </w:tcBorders>
            <w:vAlign w:val="center"/>
          </w:tcPr>
          <w:p>
            <w:pPr>
              <w:widowControl/>
              <w:adjustRightInd w:val="0"/>
              <w:snapToGrid w:val="0"/>
              <w:ind w:firstLine="480" w:firstLineChars="200"/>
              <w:jc w:val="left"/>
              <w:rPr>
                <w:rFonts w:ascii="仿宋" w:hAnsi="仿宋" w:eastAsia="仿宋" w:cs="仿宋"/>
                <w:bCs/>
                <w:kern w:val="0"/>
                <w:sz w:val="24"/>
              </w:rPr>
            </w:pPr>
          </w:p>
        </w:tc>
        <w:tc>
          <w:tcPr>
            <w:tcW w:w="905" w:type="dxa"/>
            <w:tcBorders>
              <w:top w:val="single" w:color="auto" w:sz="4" w:space="0"/>
              <w:left w:val="nil"/>
              <w:bottom w:val="single" w:color="auto" w:sz="4" w:space="0"/>
              <w:right w:val="single" w:color="auto" w:sz="4" w:space="0"/>
            </w:tcBorders>
            <w:vAlign w:val="center"/>
          </w:tcPr>
          <w:p>
            <w:pPr>
              <w:widowControl/>
              <w:adjustRightInd w:val="0"/>
              <w:snapToGrid w:val="0"/>
              <w:ind w:firstLine="480" w:firstLineChars="200"/>
              <w:jc w:val="left"/>
              <w:rPr>
                <w:rFonts w:ascii="仿宋" w:hAnsi="仿宋" w:eastAsia="仿宋" w:cs="仿宋"/>
                <w:bCs/>
                <w:kern w:val="0"/>
                <w:sz w:val="24"/>
              </w:rPr>
            </w:pPr>
          </w:p>
        </w:tc>
      </w:tr>
      <w:tr>
        <w:tblPrEx>
          <w:tblCellMar>
            <w:top w:w="0" w:type="dxa"/>
            <w:left w:w="108" w:type="dxa"/>
            <w:bottom w:w="0" w:type="dxa"/>
            <w:right w:w="108" w:type="dxa"/>
          </w:tblCellMar>
        </w:tblPrEx>
        <w:trPr>
          <w:trHeight w:val="510" w:hRule="atLeast"/>
        </w:trPr>
        <w:tc>
          <w:tcPr>
            <w:tcW w:w="68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仿宋"/>
                <w:bCs/>
                <w:kern w:val="0"/>
                <w:sz w:val="24"/>
              </w:rPr>
            </w:pPr>
            <w:r>
              <w:rPr>
                <w:rFonts w:hint="eastAsia" w:ascii="仿宋" w:hAnsi="仿宋" w:eastAsia="仿宋" w:cs="仿宋"/>
                <w:bCs/>
                <w:kern w:val="0"/>
                <w:sz w:val="24"/>
              </w:rPr>
              <w:t>4.现场资格审查前7天内有中、高风险区旅居史未完成隔离管控的人员。</w:t>
            </w:r>
          </w:p>
        </w:tc>
        <w:tc>
          <w:tcPr>
            <w:tcW w:w="820" w:type="dxa"/>
            <w:tcBorders>
              <w:top w:val="nil"/>
              <w:left w:val="nil"/>
              <w:bottom w:val="single" w:color="auto" w:sz="4" w:space="0"/>
              <w:right w:val="single" w:color="auto" w:sz="4" w:space="0"/>
            </w:tcBorders>
            <w:vAlign w:val="center"/>
          </w:tcPr>
          <w:p>
            <w:pPr>
              <w:widowControl/>
              <w:adjustRightInd w:val="0"/>
              <w:snapToGrid w:val="0"/>
              <w:ind w:firstLine="480" w:firstLineChars="200"/>
              <w:jc w:val="left"/>
              <w:rPr>
                <w:rFonts w:ascii="仿宋" w:hAnsi="仿宋" w:eastAsia="仿宋" w:cs="仿宋"/>
                <w:bCs/>
                <w:kern w:val="0"/>
                <w:sz w:val="24"/>
              </w:rPr>
            </w:pPr>
          </w:p>
        </w:tc>
        <w:tc>
          <w:tcPr>
            <w:tcW w:w="905" w:type="dxa"/>
            <w:tcBorders>
              <w:top w:val="nil"/>
              <w:left w:val="nil"/>
              <w:bottom w:val="single" w:color="auto" w:sz="4" w:space="0"/>
              <w:right w:val="single" w:color="auto" w:sz="4" w:space="0"/>
            </w:tcBorders>
            <w:vAlign w:val="center"/>
          </w:tcPr>
          <w:p>
            <w:pPr>
              <w:widowControl/>
              <w:adjustRightInd w:val="0"/>
              <w:snapToGrid w:val="0"/>
              <w:ind w:firstLine="480" w:firstLineChars="200"/>
              <w:jc w:val="left"/>
              <w:rPr>
                <w:rFonts w:ascii="仿宋" w:hAnsi="仿宋" w:eastAsia="仿宋" w:cs="仿宋"/>
                <w:bCs/>
                <w:kern w:val="0"/>
                <w:sz w:val="24"/>
              </w:rPr>
            </w:pPr>
          </w:p>
        </w:tc>
      </w:tr>
      <w:tr>
        <w:tblPrEx>
          <w:tblCellMar>
            <w:top w:w="0" w:type="dxa"/>
            <w:left w:w="108" w:type="dxa"/>
            <w:bottom w:w="0" w:type="dxa"/>
            <w:right w:w="108" w:type="dxa"/>
          </w:tblCellMar>
        </w:tblPrEx>
        <w:trPr>
          <w:trHeight w:val="510" w:hRule="atLeast"/>
        </w:trPr>
        <w:tc>
          <w:tcPr>
            <w:tcW w:w="68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仿宋"/>
                <w:bCs/>
                <w:kern w:val="0"/>
                <w:sz w:val="24"/>
              </w:rPr>
            </w:pPr>
            <w:r>
              <w:rPr>
                <w:rFonts w:hint="eastAsia" w:ascii="仿宋" w:hAnsi="仿宋" w:eastAsia="仿宋" w:cs="仿宋"/>
                <w:bCs/>
                <w:kern w:val="0"/>
                <w:sz w:val="24"/>
              </w:rPr>
              <w:t>5. 现场资格审查前7天内有低风险区（南昌市外）旅居史，未完成“3天2检（间隔24小时）”的考生；现场资格审查前7天内有低风险区（南昌市内）旅居史，未完成“3天3检（间隔24小时）”的考生。</w:t>
            </w:r>
          </w:p>
        </w:tc>
        <w:tc>
          <w:tcPr>
            <w:tcW w:w="820" w:type="dxa"/>
            <w:tcBorders>
              <w:top w:val="nil"/>
              <w:left w:val="nil"/>
              <w:bottom w:val="single" w:color="auto" w:sz="4" w:space="0"/>
              <w:right w:val="single" w:color="auto" w:sz="4" w:space="0"/>
            </w:tcBorders>
            <w:vAlign w:val="center"/>
          </w:tcPr>
          <w:p>
            <w:pPr>
              <w:widowControl/>
              <w:adjustRightInd w:val="0"/>
              <w:snapToGrid w:val="0"/>
              <w:ind w:firstLine="480" w:firstLineChars="200"/>
              <w:jc w:val="left"/>
              <w:rPr>
                <w:rFonts w:ascii="仿宋" w:hAnsi="仿宋" w:eastAsia="仿宋" w:cs="仿宋"/>
                <w:bCs/>
                <w:kern w:val="0"/>
                <w:sz w:val="24"/>
              </w:rPr>
            </w:pPr>
          </w:p>
        </w:tc>
        <w:tc>
          <w:tcPr>
            <w:tcW w:w="905" w:type="dxa"/>
            <w:tcBorders>
              <w:top w:val="nil"/>
              <w:left w:val="nil"/>
              <w:bottom w:val="single" w:color="auto" w:sz="4" w:space="0"/>
              <w:right w:val="single" w:color="auto" w:sz="4" w:space="0"/>
            </w:tcBorders>
            <w:vAlign w:val="center"/>
          </w:tcPr>
          <w:p>
            <w:pPr>
              <w:widowControl/>
              <w:adjustRightInd w:val="0"/>
              <w:snapToGrid w:val="0"/>
              <w:ind w:firstLine="480" w:firstLineChars="200"/>
              <w:jc w:val="left"/>
              <w:rPr>
                <w:rFonts w:ascii="仿宋" w:hAnsi="仿宋" w:eastAsia="仿宋" w:cs="仿宋"/>
                <w:bCs/>
                <w:kern w:val="0"/>
                <w:sz w:val="24"/>
              </w:rPr>
            </w:pPr>
          </w:p>
        </w:tc>
      </w:tr>
      <w:tr>
        <w:tblPrEx>
          <w:tblCellMar>
            <w:top w:w="0" w:type="dxa"/>
            <w:left w:w="108" w:type="dxa"/>
            <w:bottom w:w="0" w:type="dxa"/>
            <w:right w:w="108" w:type="dxa"/>
          </w:tblCellMar>
        </w:tblPrEx>
        <w:trPr>
          <w:trHeight w:val="510" w:hRule="atLeast"/>
        </w:trPr>
        <w:tc>
          <w:tcPr>
            <w:tcW w:w="68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仿宋"/>
                <w:bCs/>
                <w:kern w:val="0"/>
                <w:sz w:val="24"/>
              </w:rPr>
            </w:pPr>
            <w:r>
              <w:rPr>
                <w:rFonts w:hint="eastAsia" w:ascii="仿宋" w:hAnsi="仿宋" w:eastAsia="仿宋" w:cs="仿宋"/>
                <w:bCs/>
                <w:kern w:val="0"/>
                <w:sz w:val="24"/>
              </w:rPr>
              <w:t>6.健康码红码或黄码人员。</w:t>
            </w:r>
          </w:p>
        </w:tc>
        <w:tc>
          <w:tcPr>
            <w:tcW w:w="820" w:type="dxa"/>
            <w:tcBorders>
              <w:top w:val="nil"/>
              <w:left w:val="single" w:color="auto" w:sz="4" w:space="0"/>
              <w:bottom w:val="single" w:color="auto" w:sz="4" w:space="0"/>
              <w:right w:val="single" w:color="auto" w:sz="4" w:space="0"/>
            </w:tcBorders>
            <w:vAlign w:val="center"/>
          </w:tcPr>
          <w:p>
            <w:pPr>
              <w:widowControl/>
              <w:adjustRightInd w:val="0"/>
              <w:snapToGrid w:val="0"/>
              <w:ind w:firstLine="480" w:firstLineChars="200"/>
              <w:jc w:val="left"/>
              <w:rPr>
                <w:rFonts w:ascii="仿宋" w:hAnsi="仿宋" w:eastAsia="仿宋" w:cs="仿宋"/>
                <w:bCs/>
                <w:kern w:val="0"/>
                <w:sz w:val="24"/>
              </w:rPr>
            </w:pPr>
          </w:p>
        </w:tc>
        <w:tc>
          <w:tcPr>
            <w:tcW w:w="905" w:type="dxa"/>
            <w:tcBorders>
              <w:top w:val="nil"/>
              <w:left w:val="single" w:color="auto" w:sz="4" w:space="0"/>
              <w:bottom w:val="single" w:color="auto" w:sz="4" w:space="0"/>
              <w:right w:val="single" w:color="auto" w:sz="4" w:space="0"/>
            </w:tcBorders>
            <w:vAlign w:val="center"/>
          </w:tcPr>
          <w:p>
            <w:pPr>
              <w:widowControl/>
              <w:adjustRightInd w:val="0"/>
              <w:snapToGrid w:val="0"/>
              <w:ind w:firstLine="480" w:firstLineChars="200"/>
              <w:jc w:val="left"/>
              <w:rPr>
                <w:rFonts w:ascii="仿宋" w:hAnsi="仿宋" w:eastAsia="仿宋" w:cs="仿宋"/>
                <w:bCs/>
                <w:kern w:val="0"/>
                <w:sz w:val="24"/>
              </w:rPr>
            </w:pPr>
            <w:r>
              <w:rPr>
                <w:rFonts w:hint="eastAsia" w:ascii="仿宋" w:hAnsi="仿宋" w:eastAsia="仿宋" w:cs="仿宋"/>
                <w:bCs/>
                <w:kern w:val="0"/>
                <w:sz w:val="24"/>
              </w:rPr>
              <w:t>　</w:t>
            </w:r>
          </w:p>
        </w:tc>
      </w:tr>
      <w:tr>
        <w:tblPrEx>
          <w:tblCellMar>
            <w:top w:w="0" w:type="dxa"/>
            <w:left w:w="108" w:type="dxa"/>
            <w:bottom w:w="0" w:type="dxa"/>
            <w:right w:w="108" w:type="dxa"/>
          </w:tblCellMar>
        </w:tblPrEx>
        <w:trPr>
          <w:trHeight w:val="510" w:hRule="atLeast"/>
        </w:trPr>
        <w:tc>
          <w:tcPr>
            <w:tcW w:w="68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仿宋"/>
                <w:bCs/>
                <w:kern w:val="0"/>
                <w:sz w:val="24"/>
              </w:rPr>
            </w:pPr>
            <w:r>
              <w:rPr>
                <w:rFonts w:hint="eastAsia" w:ascii="仿宋" w:hAnsi="仿宋" w:eastAsia="仿宋" w:cs="仿宋"/>
                <w:bCs/>
                <w:kern w:val="0"/>
                <w:sz w:val="24"/>
              </w:rPr>
              <w:t>7.核酸检测阴性证明超过24小时。</w:t>
            </w:r>
          </w:p>
        </w:tc>
        <w:tc>
          <w:tcPr>
            <w:tcW w:w="820"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jc w:val="left"/>
              <w:rPr>
                <w:rFonts w:ascii="仿宋" w:hAnsi="仿宋" w:eastAsia="仿宋" w:cs="仿宋"/>
                <w:bCs/>
                <w:kern w:val="0"/>
                <w:sz w:val="24"/>
              </w:rPr>
            </w:pPr>
          </w:p>
        </w:tc>
        <w:tc>
          <w:tcPr>
            <w:tcW w:w="905"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jc w:val="left"/>
              <w:rPr>
                <w:rFonts w:ascii="仿宋" w:hAnsi="仿宋" w:eastAsia="仿宋" w:cs="仿宋"/>
                <w:bCs/>
                <w:kern w:val="0"/>
                <w:sz w:val="24"/>
              </w:rPr>
            </w:pPr>
          </w:p>
        </w:tc>
      </w:tr>
      <w:tr>
        <w:tblPrEx>
          <w:tblCellMar>
            <w:top w:w="0" w:type="dxa"/>
            <w:left w:w="108" w:type="dxa"/>
            <w:bottom w:w="0" w:type="dxa"/>
            <w:right w:w="108" w:type="dxa"/>
          </w:tblCellMar>
        </w:tblPrEx>
        <w:trPr>
          <w:trHeight w:val="510" w:hRule="atLeast"/>
        </w:trPr>
        <w:tc>
          <w:tcPr>
            <w:tcW w:w="68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仿宋"/>
                <w:bCs/>
                <w:kern w:val="0"/>
                <w:sz w:val="24"/>
              </w:rPr>
            </w:pPr>
            <w:r>
              <w:rPr>
                <w:rFonts w:hint="eastAsia" w:ascii="仿宋" w:hAnsi="仿宋" w:eastAsia="仿宋" w:cs="仿宋"/>
                <w:bCs/>
                <w:kern w:val="0"/>
                <w:sz w:val="24"/>
              </w:rPr>
              <w:t>8.有其他需要报告的异常情况。</w:t>
            </w:r>
          </w:p>
        </w:tc>
        <w:tc>
          <w:tcPr>
            <w:tcW w:w="820"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jc w:val="left"/>
              <w:rPr>
                <w:rFonts w:ascii="仿宋" w:hAnsi="仿宋" w:eastAsia="仿宋" w:cs="仿宋"/>
                <w:bCs/>
                <w:kern w:val="0"/>
                <w:sz w:val="24"/>
              </w:rPr>
            </w:pPr>
          </w:p>
        </w:tc>
        <w:tc>
          <w:tcPr>
            <w:tcW w:w="905"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jc w:val="left"/>
              <w:rPr>
                <w:rFonts w:ascii="仿宋" w:hAnsi="仿宋" w:eastAsia="仿宋" w:cs="仿宋"/>
                <w:bCs/>
                <w:kern w:val="0"/>
                <w:sz w:val="24"/>
              </w:rPr>
            </w:pPr>
          </w:p>
        </w:tc>
      </w:tr>
      <w:tr>
        <w:tblPrEx>
          <w:tblCellMar>
            <w:top w:w="0" w:type="dxa"/>
            <w:left w:w="108" w:type="dxa"/>
            <w:bottom w:w="0" w:type="dxa"/>
            <w:right w:w="108" w:type="dxa"/>
          </w:tblCellMar>
        </w:tblPrEx>
        <w:trPr>
          <w:trHeight w:val="510" w:hRule="atLeast"/>
        </w:trPr>
        <w:tc>
          <w:tcPr>
            <w:tcW w:w="857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仿宋"/>
                <w:bCs/>
                <w:kern w:val="0"/>
                <w:sz w:val="24"/>
              </w:rPr>
            </w:pPr>
            <w:r>
              <w:rPr>
                <w:rFonts w:hint="eastAsia" w:ascii="仿宋" w:hAnsi="仿宋" w:eastAsia="仿宋" w:cs="仿宋"/>
                <w:bCs/>
                <w:kern w:val="0"/>
                <w:sz w:val="24"/>
              </w:rPr>
              <w:t>9. 现场资格审查前完成　　剂次新冠肺炎疫苗接种。</w:t>
            </w:r>
          </w:p>
        </w:tc>
      </w:tr>
      <w:tr>
        <w:tblPrEx>
          <w:tblCellMar>
            <w:top w:w="0" w:type="dxa"/>
            <w:left w:w="108" w:type="dxa"/>
            <w:bottom w:w="0" w:type="dxa"/>
            <w:right w:w="108" w:type="dxa"/>
          </w:tblCellMar>
        </w:tblPrEx>
        <w:trPr>
          <w:trHeight w:val="510" w:hRule="atLeast"/>
        </w:trPr>
        <w:tc>
          <w:tcPr>
            <w:tcW w:w="857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仿宋"/>
                <w:bCs/>
                <w:kern w:val="0"/>
                <w:sz w:val="24"/>
              </w:rPr>
            </w:pPr>
            <w:r>
              <w:rPr>
                <w:rFonts w:hint="eastAsia" w:ascii="仿宋" w:hAnsi="仿宋" w:eastAsia="仿宋" w:cs="仿宋"/>
                <w:bCs/>
                <w:kern w:val="0"/>
                <w:sz w:val="24"/>
              </w:rPr>
              <w:t>注：（1）请在表格第1-8项的相关空白处打√。</w:t>
            </w:r>
          </w:p>
          <w:p>
            <w:pPr>
              <w:adjustRightInd w:val="0"/>
              <w:snapToGrid w:val="0"/>
              <w:ind w:firstLine="480" w:firstLineChars="200"/>
              <w:jc w:val="left"/>
              <w:rPr>
                <w:rFonts w:ascii="仿宋" w:hAnsi="仿宋" w:eastAsia="仿宋" w:cs="仿宋"/>
                <w:bCs/>
                <w:kern w:val="0"/>
                <w:sz w:val="24"/>
              </w:rPr>
            </w:pPr>
            <w:r>
              <w:rPr>
                <w:rFonts w:hint="eastAsia" w:ascii="仿宋" w:hAnsi="仿宋" w:eastAsia="仿宋" w:cs="仿宋"/>
                <w:bCs/>
                <w:kern w:val="0"/>
                <w:sz w:val="24"/>
              </w:rPr>
              <w:t xml:space="preserve">（2）请在表格第9项内填写接种新冠疫苗剂次数。   </w:t>
            </w:r>
          </w:p>
          <w:p>
            <w:pPr>
              <w:adjustRightInd w:val="0"/>
              <w:snapToGrid w:val="0"/>
              <w:ind w:firstLine="480" w:firstLineChars="200"/>
              <w:jc w:val="left"/>
              <w:rPr>
                <w:rFonts w:ascii="仿宋" w:hAnsi="仿宋" w:eastAsia="仿宋" w:cs="仿宋"/>
                <w:bCs/>
                <w:kern w:val="0"/>
                <w:sz w:val="24"/>
              </w:rPr>
            </w:pPr>
            <w:r>
              <w:rPr>
                <w:rFonts w:hint="eastAsia" w:ascii="仿宋" w:hAnsi="仿宋" w:eastAsia="仿宋" w:cs="仿宋"/>
                <w:bCs/>
                <w:kern w:val="0"/>
                <w:sz w:val="24"/>
              </w:rPr>
              <w:t>（3）按照最新各省公布的高中低风险地区填写。</w:t>
            </w:r>
          </w:p>
        </w:tc>
      </w:tr>
    </w:tbl>
    <w:p>
      <w:pPr>
        <w:widowControl/>
        <w:adjustRightInd w:val="0"/>
        <w:snapToGrid w:val="0"/>
        <w:spacing w:line="360" w:lineRule="auto"/>
        <w:ind w:firstLine="480" w:firstLineChars="200"/>
        <w:jc w:val="left"/>
        <w:rPr>
          <w:rFonts w:ascii="仿宋" w:hAnsi="仿宋" w:eastAsia="仿宋" w:cs="仿宋"/>
          <w:sz w:val="24"/>
          <w:szCs w:val="24"/>
        </w:rPr>
      </w:pPr>
      <w:r>
        <w:rPr>
          <w:rFonts w:hint="eastAsia" w:ascii="仿宋" w:hAnsi="仿宋" w:eastAsia="仿宋" w:cs="仿宋"/>
          <w:bCs/>
          <w:kern w:val="0"/>
          <w:sz w:val="24"/>
          <w:szCs w:val="24"/>
        </w:rPr>
        <w:t>本人已认真阅读此公告及《健康承诺书》，知悉告知事项、证明义务和防疫要求。在此郑重承诺：本人身体健康，</w:t>
      </w:r>
      <w:r>
        <w:rPr>
          <w:rFonts w:hint="eastAsia" w:ascii="仿宋" w:hAnsi="仿宋" w:eastAsia="仿宋" w:cs="仿宋"/>
          <w:sz w:val="24"/>
          <w:szCs w:val="24"/>
        </w:rPr>
        <w:t>不属于《</w:t>
      </w:r>
      <w:r>
        <w:rPr>
          <w:rFonts w:hint="eastAsia" w:ascii="仿宋" w:hAnsi="仿宋" w:eastAsia="仿宋" w:cs="仿宋"/>
          <w:color w:val="000000"/>
          <w:kern w:val="0"/>
          <w:sz w:val="24"/>
          <w:szCs w:val="24"/>
        </w:rPr>
        <w:t>江西省电子信息技师学院2022年公开招聘高层次人才疫情防控公告</w:t>
      </w:r>
      <w:r>
        <w:rPr>
          <w:rFonts w:hint="eastAsia" w:ascii="仿宋" w:hAnsi="仿宋" w:eastAsia="仿宋" w:cs="仿宋"/>
          <w:sz w:val="24"/>
          <w:szCs w:val="24"/>
        </w:rPr>
        <w:t>》中明确的不得参加</w:t>
      </w:r>
      <w:r>
        <w:rPr>
          <w:rFonts w:hint="eastAsia" w:ascii="仿宋" w:hAnsi="仿宋" w:eastAsia="仿宋" w:cs="仿宋"/>
          <w:bCs/>
          <w:kern w:val="0"/>
          <w:sz w:val="24"/>
        </w:rPr>
        <w:t>现场资格审查</w:t>
      </w:r>
      <w:r>
        <w:rPr>
          <w:rFonts w:hint="eastAsia" w:ascii="仿宋" w:hAnsi="仿宋" w:eastAsia="仿宋" w:cs="仿宋"/>
          <w:sz w:val="24"/>
          <w:szCs w:val="24"/>
        </w:rPr>
        <w:t>的人群。</w:t>
      </w:r>
      <w:r>
        <w:rPr>
          <w:rFonts w:hint="eastAsia" w:ascii="仿宋" w:hAnsi="仿宋" w:eastAsia="仿宋" w:cs="仿宋"/>
          <w:bCs/>
          <w:kern w:val="0"/>
          <w:sz w:val="24"/>
          <w:szCs w:val="24"/>
        </w:rPr>
        <w:t>本人填报、提交和现场出示的所有信息（证明）均真实、准确、完整、有效。</w:t>
      </w:r>
      <w:r>
        <w:rPr>
          <w:rFonts w:hint="eastAsia" w:ascii="仿宋" w:hAnsi="仿宋" w:eastAsia="仿宋" w:cs="仿宋"/>
          <w:sz w:val="24"/>
          <w:szCs w:val="24"/>
        </w:rPr>
        <w:t>本人充分理解并遵守考试期间考点各项防疫安全要求，</w:t>
      </w:r>
      <w:r>
        <w:rPr>
          <w:rFonts w:hint="eastAsia" w:ascii="仿宋" w:hAnsi="仿宋" w:eastAsia="仿宋" w:cs="仿宋"/>
          <w:bCs/>
          <w:kern w:val="0"/>
          <w:sz w:val="24"/>
        </w:rPr>
        <w:t>现场资格审查</w:t>
      </w:r>
      <w:r>
        <w:rPr>
          <w:rFonts w:hint="eastAsia" w:ascii="仿宋" w:hAnsi="仿宋" w:eastAsia="仿宋" w:cs="仿宋"/>
          <w:sz w:val="24"/>
          <w:szCs w:val="24"/>
        </w:rPr>
        <w:t>过程中如出现发热、干咳等症状，本人将配合评估，如经评估后认为不具备继续完成</w:t>
      </w:r>
      <w:r>
        <w:rPr>
          <w:rFonts w:hint="eastAsia" w:ascii="仿宋" w:hAnsi="仿宋" w:eastAsia="仿宋" w:cs="仿宋"/>
          <w:bCs/>
          <w:kern w:val="0"/>
          <w:sz w:val="24"/>
        </w:rPr>
        <w:t>现场资格审查</w:t>
      </w:r>
      <w:r>
        <w:rPr>
          <w:rFonts w:hint="eastAsia" w:ascii="仿宋" w:hAnsi="仿宋" w:eastAsia="仿宋" w:cs="仿宋"/>
          <w:sz w:val="24"/>
          <w:szCs w:val="24"/>
        </w:rPr>
        <w:t>条件，本人愿自行放弃报考。本人保证以上承诺信息真实、准确、完整，并知悉我将承担瞒报的法律后果及责任。</w:t>
      </w:r>
    </w:p>
    <w:p>
      <w:pPr>
        <w:rPr>
          <w:rFonts w:ascii="仿宋" w:hAnsi="仿宋" w:eastAsia="仿宋" w:cs="仿宋"/>
          <w:bCs/>
          <w:kern w:val="0"/>
          <w:sz w:val="24"/>
        </w:rPr>
      </w:pPr>
    </w:p>
    <w:p>
      <w:pPr>
        <w:ind w:firstLine="480" w:firstLineChars="200"/>
        <w:rPr>
          <w:rFonts w:ascii="仿宋" w:hAnsi="仿宋" w:eastAsia="仿宋" w:cs="仿宋"/>
        </w:rPr>
      </w:pPr>
      <w:r>
        <w:rPr>
          <w:rFonts w:hint="eastAsia" w:ascii="仿宋" w:hAnsi="仿宋" w:eastAsia="仿宋" w:cs="仿宋"/>
          <w:bCs/>
          <w:kern w:val="0"/>
          <w:sz w:val="24"/>
        </w:rPr>
        <w:t xml:space="preserve">本人签字：              联系方式：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5MzNiNTQzNmUxZWI2MmIxNDNjNDI1ZDNhNWI0MmUifQ=="/>
  </w:docVars>
  <w:rsids>
    <w:rsidRoot w:val="00673FD8"/>
    <w:rsid w:val="00167CD4"/>
    <w:rsid w:val="001B6753"/>
    <w:rsid w:val="002D6CF3"/>
    <w:rsid w:val="002F5A71"/>
    <w:rsid w:val="004209C4"/>
    <w:rsid w:val="00434DDB"/>
    <w:rsid w:val="00444171"/>
    <w:rsid w:val="00502666"/>
    <w:rsid w:val="0055653D"/>
    <w:rsid w:val="00570DB5"/>
    <w:rsid w:val="005E3688"/>
    <w:rsid w:val="00673FD8"/>
    <w:rsid w:val="006A6D80"/>
    <w:rsid w:val="00745B41"/>
    <w:rsid w:val="00980687"/>
    <w:rsid w:val="00B03941"/>
    <w:rsid w:val="00B04179"/>
    <w:rsid w:val="00B925A0"/>
    <w:rsid w:val="00CE4EE2"/>
    <w:rsid w:val="00DD4118"/>
    <w:rsid w:val="00EB7212"/>
    <w:rsid w:val="00EC1803"/>
    <w:rsid w:val="00EF28A0"/>
    <w:rsid w:val="00F01F0E"/>
    <w:rsid w:val="00F4333B"/>
    <w:rsid w:val="00F51D50"/>
    <w:rsid w:val="08BB25B2"/>
    <w:rsid w:val="0D02305D"/>
    <w:rsid w:val="13A56746"/>
    <w:rsid w:val="25FA3E83"/>
    <w:rsid w:val="2CC54600"/>
    <w:rsid w:val="305F6D39"/>
    <w:rsid w:val="422F50F2"/>
    <w:rsid w:val="439A5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keepNext/>
      <w:keepLines/>
      <w:spacing w:line="576" w:lineRule="auto"/>
      <w:outlineLvl w:val="0"/>
    </w:pPr>
    <w:rPr>
      <w:b/>
      <w:kern w:val="44"/>
      <w:sz w:val="44"/>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5</Pages>
  <Words>2679</Words>
  <Characters>2755</Characters>
  <Lines>20</Lines>
  <Paragraphs>5</Paragraphs>
  <TotalTime>1</TotalTime>
  <ScaleCrop>false</ScaleCrop>
  <LinksUpToDate>false</LinksUpToDate>
  <CharactersWithSpaces>2826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2022-09-09T09:52:00Z</dcterms:created>
  <dc:creator>HP</dc:creator>
  <cp:lastModifiedBy>OuYoung</cp:lastModifiedBy>
  <dcterms:modified xsi:type="dcterms:W3CDTF">2022-09-10T03:32:47Z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FF1CECDE7CE0431482D6230055388A9B</vt:lpwstr>
  </property>
</Properties>
</file>